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8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0"/>
        <w:gridCol w:w="5040"/>
        <w:gridCol w:w="1350"/>
        <w:gridCol w:w="4860"/>
      </w:tblGrid>
      <w:tr w:rsidR="00D935A4" w:rsidRPr="00D935A4" w:rsidTr="00D935A4">
        <w:trPr>
          <w:trHeight w:val="530"/>
        </w:trPr>
        <w:tc>
          <w:tcPr>
            <w:tcW w:w="630" w:type="dxa"/>
            <w:shd w:val="clear" w:color="auto" w:fill="DBDBDB" w:themeFill="accent3" w:themeFillTint="66"/>
          </w:tcPr>
          <w:p w:rsidR="00D935A4" w:rsidRDefault="00D935A4" w:rsidP="00D935A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5040" w:type="dxa"/>
            <w:shd w:val="clear" w:color="auto" w:fill="DBDBDB" w:themeFill="accent3" w:themeFillTint="66"/>
          </w:tcPr>
          <w:p w:rsidR="00D935A4" w:rsidRPr="00D935A4" w:rsidRDefault="00D935A4" w:rsidP="00D935A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Title</w:t>
            </w:r>
          </w:p>
        </w:tc>
        <w:tc>
          <w:tcPr>
            <w:tcW w:w="1350" w:type="dxa"/>
            <w:shd w:val="clear" w:color="auto" w:fill="DBDBDB" w:themeFill="accent3" w:themeFillTint="66"/>
            <w:noWrap/>
          </w:tcPr>
          <w:p w:rsidR="00D935A4" w:rsidRPr="00D935A4" w:rsidRDefault="00D935A4" w:rsidP="00D935A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Index</w:t>
            </w:r>
          </w:p>
        </w:tc>
        <w:tc>
          <w:tcPr>
            <w:tcW w:w="4860" w:type="dxa"/>
            <w:shd w:val="clear" w:color="auto" w:fill="DBDBDB" w:themeFill="accent3" w:themeFillTint="66"/>
            <w:noWrap/>
          </w:tcPr>
          <w:p w:rsidR="00D935A4" w:rsidRPr="00D935A4" w:rsidRDefault="00D935A4" w:rsidP="00D935A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Journal</w:t>
            </w:r>
          </w:p>
        </w:tc>
      </w:tr>
      <w:tr w:rsidR="00D935A4" w:rsidRPr="00D935A4" w:rsidTr="00D935A4">
        <w:trPr>
          <w:trHeight w:val="864"/>
        </w:trPr>
        <w:tc>
          <w:tcPr>
            <w:tcW w:w="630" w:type="dxa"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040" w:type="dxa"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Determinants of emergency department use and hospitalization among people who inject drugs: A systematic review and meta-analysis</w:t>
            </w:r>
          </w:p>
        </w:tc>
        <w:tc>
          <w:tcPr>
            <w:tcW w:w="1350" w:type="dxa"/>
            <w:noWrap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WOS</w:t>
            </w:r>
          </w:p>
        </w:tc>
        <w:tc>
          <w:tcPr>
            <w:tcW w:w="4860" w:type="dxa"/>
            <w:noWrap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JOURNAL OF SUBSTANCE USE</w:t>
            </w:r>
          </w:p>
        </w:tc>
      </w:tr>
      <w:tr w:rsidR="00D935A4" w:rsidRPr="00D935A4" w:rsidTr="00D935A4">
        <w:trPr>
          <w:trHeight w:val="1440"/>
        </w:trPr>
        <w:tc>
          <w:tcPr>
            <w:tcW w:w="630" w:type="dxa"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040" w:type="dxa"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Differential expression levels of β-catenin are associated with invasive behavior of both functional and non-functional pituitary neuroendocrine tumor (PitNET)</w:t>
            </w:r>
          </w:p>
        </w:tc>
        <w:tc>
          <w:tcPr>
            <w:tcW w:w="1350" w:type="dxa"/>
            <w:noWrap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WOS</w:t>
            </w:r>
          </w:p>
        </w:tc>
        <w:tc>
          <w:tcPr>
            <w:tcW w:w="4860" w:type="dxa"/>
            <w:noWrap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MOLECULAR BIOLOGY REPORTS</w:t>
            </w:r>
          </w:p>
        </w:tc>
      </w:tr>
      <w:tr w:rsidR="00D935A4" w:rsidRPr="00D935A4" w:rsidTr="00D935A4">
        <w:trPr>
          <w:trHeight w:val="1440"/>
        </w:trPr>
        <w:tc>
          <w:tcPr>
            <w:tcW w:w="630" w:type="dxa"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040" w:type="dxa"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Emergency Department Use, Hospitalization, and Their Sociodemographic Determinants among Patients with Substance-Related Disorders: A Worldwide Systematic Review and Meta-Analysis</w:t>
            </w:r>
          </w:p>
        </w:tc>
        <w:tc>
          <w:tcPr>
            <w:tcW w:w="1350" w:type="dxa"/>
            <w:noWrap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WOS</w:t>
            </w:r>
          </w:p>
        </w:tc>
        <w:tc>
          <w:tcPr>
            <w:tcW w:w="4860" w:type="dxa"/>
            <w:noWrap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SUBSTANCE USE &amp; MISUSE</w:t>
            </w:r>
          </w:p>
        </w:tc>
      </w:tr>
      <w:tr w:rsidR="00D935A4" w:rsidRPr="00D935A4" w:rsidTr="00D935A4">
        <w:trPr>
          <w:trHeight w:val="864"/>
        </w:trPr>
        <w:tc>
          <w:tcPr>
            <w:tcW w:w="630" w:type="dxa"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040" w:type="dxa"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Inconsistent Condom Use and Risk Taking Among People Who Inject Drugs in Saveh: Finding from a Cross-Sectional Study in Iran</w:t>
            </w:r>
          </w:p>
        </w:tc>
        <w:tc>
          <w:tcPr>
            <w:tcW w:w="1350" w:type="dxa"/>
            <w:noWrap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WOS</w:t>
            </w:r>
          </w:p>
        </w:tc>
        <w:tc>
          <w:tcPr>
            <w:tcW w:w="4860" w:type="dxa"/>
            <w:noWrap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SEXUALITY RESEARCH AND SOCIAL POLICY</w:t>
            </w:r>
          </w:p>
        </w:tc>
      </w:tr>
      <w:tr w:rsidR="00D935A4" w:rsidRPr="00D935A4" w:rsidTr="00D935A4">
        <w:trPr>
          <w:trHeight w:val="864"/>
        </w:trPr>
        <w:tc>
          <w:tcPr>
            <w:tcW w:w="630" w:type="dxa"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040" w:type="dxa"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Introducing Estrogen Metabolism as the Main Target of Wedelia chinensis in Prostate Cancer Cells</w:t>
            </w:r>
          </w:p>
        </w:tc>
        <w:tc>
          <w:tcPr>
            <w:tcW w:w="1350" w:type="dxa"/>
            <w:noWrap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WOS</w:t>
            </w:r>
          </w:p>
        </w:tc>
        <w:tc>
          <w:tcPr>
            <w:tcW w:w="4860" w:type="dxa"/>
            <w:noWrap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RESEARCH JOURNAL OF PHARMACOGNOSY</w:t>
            </w:r>
          </w:p>
        </w:tc>
      </w:tr>
      <w:tr w:rsidR="00D935A4" w:rsidRPr="00D935A4" w:rsidTr="00D935A4">
        <w:trPr>
          <w:trHeight w:val="864"/>
        </w:trPr>
        <w:tc>
          <w:tcPr>
            <w:tcW w:w="630" w:type="dxa"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040" w:type="dxa"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Investigation the effect of Scrophularia striata hydroalcoholic Extract On Cell Death and Migration in Cervical Cancer Cell Line(student)</w:t>
            </w:r>
          </w:p>
        </w:tc>
        <w:tc>
          <w:tcPr>
            <w:tcW w:w="1350" w:type="dxa"/>
            <w:noWrap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WOS</w:t>
            </w:r>
          </w:p>
        </w:tc>
        <w:tc>
          <w:tcPr>
            <w:tcW w:w="4860" w:type="dxa"/>
            <w:noWrap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INTERNATIONAL JOURNAL OF MEDICAL TOXICOLOGY AND FORENSIC MEDICINE</w:t>
            </w:r>
          </w:p>
        </w:tc>
      </w:tr>
      <w:tr w:rsidR="00D935A4" w:rsidRPr="00D935A4" w:rsidTr="00D935A4">
        <w:trPr>
          <w:trHeight w:val="864"/>
        </w:trPr>
        <w:tc>
          <w:tcPr>
            <w:tcW w:w="630" w:type="dxa"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040" w:type="dxa"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Joint Modeling of In Vitro Fertilization Outcomes among A Population of Iranian Infertile Couples: A Historical Cohort Study</w:t>
            </w:r>
          </w:p>
        </w:tc>
        <w:tc>
          <w:tcPr>
            <w:tcW w:w="1350" w:type="dxa"/>
            <w:noWrap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WOS</w:t>
            </w:r>
          </w:p>
        </w:tc>
        <w:tc>
          <w:tcPr>
            <w:tcW w:w="4860" w:type="dxa"/>
            <w:noWrap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INTERNATIONAL JOURNAL OF FERTILITY &amp; STERILITY</w:t>
            </w:r>
          </w:p>
        </w:tc>
      </w:tr>
      <w:tr w:rsidR="00D935A4" w:rsidRPr="00D935A4" w:rsidTr="00D935A4">
        <w:trPr>
          <w:trHeight w:val="864"/>
        </w:trPr>
        <w:tc>
          <w:tcPr>
            <w:tcW w:w="630" w:type="dxa"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040" w:type="dxa"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Lipoprotein (a) as a predictor of diabetic retinopathy in patients with type 2 diabetes: A systematic review</w:t>
            </w:r>
          </w:p>
        </w:tc>
        <w:tc>
          <w:tcPr>
            <w:tcW w:w="1350" w:type="dxa"/>
            <w:noWrap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WOS</w:t>
            </w:r>
          </w:p>
        </w:tc>
        <w:tc>
          <w:tcPr>
            <w:tcW w:w="4860" w:type="dxa"/>
            <w:noWrap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DIABETES &amp; VASCULAR DISEASE RESEARCH</w:t>
            </w:r>
          </w:p>
        </w:tc>
      </w:tr>
      <w:tr w:rsidR="00D935A4" w:rsidRPr="00D935A4" w:rsidTr="00D935A4">
        <w:trPr>
          <w:trHeight w:val="864"/>
        </w:trPr>
        <w:tc>
          <w:tcPr>
            <w:tcW w:w="630" w:type="dxa"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9</w:t>
            </w:r>
          </w:p>
        </w:tc>
        <w:tc>
          <w:tcPr>
            <w:tcW w:w="5040" w:type="dxa"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Non-coding RNAs and Exosomal Non-coding RNAs in Traumatic Brain Injury: the Small Player with Big Actions</w:t>
            </w:r>
          </w:p>
        </w:tc>
        <w:tc>
          <w:tcPr>
            <w:tcW w:w="1350" w:type="dxa"/>
            <w:noWrap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WOS</w:t>
            </w:r>
          </w:p>
        </w:tc>
        <w:tc>
          <w:tcPr>
            <w:tcW w:w="4860" w:type="dxa"/>
            <w:noWrap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MOLECULAR NEUROBIOLOGY</w:t>
            </w:r>
          </w:p>
        </w:tc>
      </w:tr>
      <w:tr w:rsidR="00D935A4" w:rsidRPr="00D935A4" w:rsidTr="00D935A4">
        <w:trPr>
          <w:trHeight w:val="864"/>
        </w:trPr>
        <w:tc>
          <w:tcPr>
            <w:tcW w:w="630" w:type="dxa"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040" w:type="dxa"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Non-coding RNAs and Exosomal Non-coding RNAs in Traumatic Brain Injury: the Small Player with Big Actions</w:t>
            </w:r>
          </w:p>
        </w:tc>
        <w:tc>
          <w:tcPr>
            <w:tcW w:w="1350" w:type="dxa"/>
            <w:noWrap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WOS</w:t>
            </w:r>
          </w:p>
        </w:tc>
        <w:tc>
          <w:tcPr>
            <w:tcW w:w="4860" w:type="dxa"/>
            <w:noWrap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MOLECULAR NEUROBIOLOGY</w:t>
            </w:r>
          </w:p>
        </w:tc>
      </w:tr>
      <w:tr w:rsidR="00D935A4" w:rsidRPr="00D935A4" w:rsidTr="00D935A4">
        <w:trPr>
          <w:trHeight w:val="864"/>
        </w:trPr>
        <w:tc>
          <w:tcPr>
            <w:tcW w:w="630" w:type="dxa"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040" w:type="dxa"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Physical Inactivity, Inequalities, and Disparities Across Districts of Iran: A STEPs Survey-Based Analysis</w:t>
            </w:r>
          </w:p>
        </w:tc>
        <w:tc>
          <w:tcPr>
            <w:tcW w:w="1350" w:type="dxa"/>
            <w:noWrap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WOS</w:t>
            </w:r>
          </w:p>
        </w:tc>
        <w:tc>
          <w:tcPr>
            <w:tcW w:w="4860" w:type="dxa"/>
            <w:noWrap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JOURNAL OF PHYSICAL ACTIVITY &amp; HEALTH</w:t>
            </w:r>
          </w:p>
        </w:tc>
      </w:tr>
      <w:tr w:rsidR="00D935A4" w:rsidRPr="00D935A4" w:rsidTr="00D935A4">
        <w:trPr>
          <w:trHeight w:val="864"/>
        </w:trPr>
        <w:tc>
          <w:tcPr>
            <w:tcW w:w="630" w:type="dxa"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040" w:type="dxa"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Proteomics investigation of human sera for determination of postoperative indicators of pulmonary cystic echinococcosis(student)</w:t>
            </w:r>
          </w:p>
        </w:tc>
        <w:tc>
          <w:tcPr>
            <w:tcW w:w="1350" w:type="dxa"/>
            <w:noWrap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WOS</w:t>
            </w:r>
          </w:p>
        </w:tc>
        <w:tc>
          <w:tcPr>
            <w:tcW w:w="4860" w:type="dxa"/>
            <w:noWrap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JOURNAL OF CARDIOTHORACIC SURGERY</w:t>
            </w:r>
          </w:p>
        </w:tc>
      </w:tr>
      <w:tr w:rsidR="00D935A4" w:rsidRPr="00D935A4" w:rsidTr="00D935A4">
        <w:trPr>
          <w:trHeight w:val="864"/>
        </w:trPr>
        <w:tc>
          <w:tcPr>
            <w:tcW w:w="630" w:type="dxa"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040" w:type="dxa"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Quality of life and its associated factors among patients with substance use disorders: A systematic review and meta-analysis</w:t>
            </w:r>
          </w:p>
        </w:tc>
        <w:tc>
          <w:tcPr>
            <w:tcW w:w="1350" w:type="dxa"/>
            <w:noWrap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WOS</w:t>
            </w:r>
          </w:p>
        </w:tc>
        <w:tc>
          <w:tcPr>
            <w:tcW w:w="4860" w:type="dxa"/>
            <w:noWrap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JOURNAL OF SUBSTANCE USE</w:t>
            </w:r>
          </w:p>
        </w:tc>
      </w:tr>
      <w:tr w:rsidR="00D935A4" w:rsidRPr="00D935A4" w:rsidTr="00D935A4">
        <w:trPr>
          <w:trHeight w:val="864"/>
        </w:trPr>
        <w:tc>
          <w:tcPr>
            <w:tcW w:w="630" w:type="dxa"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5040" w:type="dxa"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The Potential Anti-inflammatory Effect of Spirulina Platensis on an in Vitro Model of Celiac Disease(student)</w:t>
            </w:r>
          </w:p>
        </w:tc>
        <w:tc>
          <w:tcPr>
            <w:tcW w:w="1350" w:type="dxa"/>
            <w:noWrap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WOS</w:t>
            </w:r>
          </w:p>
        </w:tc>
        <w:tc>
          <w:tcPr>
            <w:tcW w:w="4860" w:type="dxa"/>
            <w:noWrap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International Journal of Medical Toxicology and Forensic Medicine</w:t>
            </w:r>
          </w:p>
        </w:tc>
      </w:tr>
      <w:tr w:rsidR="00D935A4" w:rsidRPr="00D935A4" w:rsidTr="00D935A4">
        <w:trPr>
          <w:trHeight w:val="864"/>
        </w:trPr>
        <w:tc>
          <w:tcPr>
            <w:tcW w:w="630" w:type="dxa"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040" w:type="dxa"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The impact of conventional smoking versus electronic cigarette on the expression of VEGF, PEMPA1, and PTEN in rat prostate</w:t>
            </w:r>
          </w:p>
        </w:tc>
        <w:tc>
          <w:tcPr>
            <w:tcW w:w="1350" w:type="dxa"/>
            <w:noWrap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WOS</w:t>
            </w:r>
          </w:p>
        </w:tc>
        <w:tc>
          <w:tcPr>
            <w:tcW w:w="4860" w:type="dxa"/>
            <w:noWrap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PROSTATE INTERNATIONAL</w:t>
            </w:r>
          </w:p>
        </w:tc>
      </w:tr>
      <w:tr w:rsidR="00D935A4" w:rsidRPr="00D935A4" w:rsidTr="00D935A4">
        <w:trPr>
          <w:trHeight w:val="864"/>
        </w:trPr>
        <w:tc>
          <w:tcPr>
            <w:tcW w:w="630" w:type="dxa"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5040" w:type="dxa"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The Impact of Covid-19 Pandemic on Genitourinary Cancers Stage and Grade</w:t>
            </w:r>
          </w:p>
        </w:tc>
        <w:tc>
          <w:tcPr>
            <w:tcW w:w="1350" w:type="dxa"/>
            <w:noWrap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WOS</w:t>
            </w:r>
          </w:p>
        </w:tc>
        <w:tc>
          <w:tcPr>
            <w:tcW w:w="4860" w:type="dxa"/>
            <w:noWrap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CLINICAL GENITOURINARY CANCER</w:t>
            </w:r>
          </w:p>
        </w:tc>
      </w:tr>
      <w:tr w:rsidR="00D935A4" w:rsidRPr="00D935A4" w:rsidTr="00D935A4">
        <w:trPr>
          <w:trHeight w:val="1728"/>
        </w:trPr>
        <w:tc>
          <w:tcPr>
            <w:tcW w:w="630" w:type="dxa"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5040" w:type="dxa"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Comparison of Native Hydatid Cyst Fluid (HCF), Lyophilized HCF, Antigen B (AgB) and Lyophilized AgB (LAgB) Originated from Echinococcus granulosus Sensu Stricto for Sero-Diagnosis of Active, Transitional and Inactive Human Liver Cystic Echinococcosis</w:t>
            </w:r>
          </w:p>
        </w:tc>
        <w:tc>
          <w:tcPr>
            <w:tcW w:w="1350" w:type="dxa"/>
            <w:noWrap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PubMed</w:t>
            </w:r>
          </w:p>
        </w:tc>
        <w:tc>
          <w:tcPr>
            <w:tcW w:w="4860" w:type="dxa"/>
            <w:noWrap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Iran J Public Health</w:t>
            </w:r>
          </w:p>
        </w:tc>
      </w:tr>
      <w:tr w:rsidR="00D935A4" w:rsidRPr="00D935A4" w:rsidTr="00D935A4">
        <w:trPr>
          <w:trHeight w:val="1152"/>
        </w:trPr>
        <w:tc>
          <w:tcPr>
            <w:tcW w:w="630" w:type="dxa"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18</w:t>
            </w:r>
          </w:p>
        </w:tc>
        <w:tc>
          <w:tcPr>
            <w:tcW w:w="5040" w:type="dxa"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Does the Prone Position During the Shockwave Lithotripsy of Kidney Stones Improve the Stone-Free Rate? Results from a Randomized Clinical Trial</w:t>
            </w:r>
          </w:p>
        </w:tc>
        <w:tc>
          <w:tcPr>
            <w:tcW w:w="1350" w:type="dxa"/>
            <w:noWrap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PubMed</w:t>
            </w:r>
          </w:p>
        </w:tc>
        <w:tc>
          <w:tcPr>
            <w:tcW w:w="4860" w:type="dxa"/>
            <w:noWrap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Randomized Controlled Trial</w:t>
            </w:r>
          </w:p>
        </w:tc>
      </w:tr>
      <w:tr w:rsidR="00D935A4" w:rsidRPr="00D935A4" w:rsidTr="00D935A4">
        <w:trPr>
          <w:trHeight w:val="864"/>
        </w:trPr>
        <w:tc>
          <w:tcPr>
            <w:tcW w:w="630" w:type="dxa"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5040" w:type="dxa"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Hs-CRP and TNF-α Effects on Postnatal Umbilical Coiling: Impact Assessment of the Gestational Diabetes Mellitus</w:t>
            </w:r>
          </w:p>
        </w:tc>
        <w:tc>
          <w:tcPr>
            <w:tcW w:w="1350" w:type="dxa"/>
            <w:noWrap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PubMed</w:t>
            </w:r>
          </w:p>
        </w:tc>
        <w:tc>
          <w:tcPr>
            <w:tcW w:w="4860" w:type="dxa"/>
            <w:noWrap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Med J Islam Repub Iran</w:t>
            </w:r>
          </w:p>
        </w:tc>
      </w:tr>
      <w:tr w:rsidR="00D935A4" w:rsidRPr="00D935A4" w:rsidTr="00D935A4">
        <w:trPr>
          <w:trHeight w:val="576"/>
        </w:trPr>
        <w:tc>
          <w:tcPr>
            <w:tcW w:w="630" w:type="dxa"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5040" w:type="dxa"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Radiotherapy Technology Education in Iran: A Year after the COVID-19 Pandemic</w:t>
            </w:r>
          </w:p>
        </w:tc>
        <w:tc>
          <w:tcPr>
            <w:tcW w:w="1350" w:type="dxa"/>
            <w:noWrap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PubMed</w:t>
            </w:r>
          </w:p>
        </w:tc>
        <w:tc>
          <w:tcPr>
            <w:tcW w:w="4860" w:type="dxa"/>
            <w:noWrap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J Biomed Phys Eng</w:t>
            </w:r>
          </w:p>
        </w:tc>
      </w:tr>
      <w:tr w:rsidR="00D935A4" w:rsidRPr="00D935A4" w:rsidTr="00D935A4">
        <w:trPr>
          <w:trHeight w:val="864"/>
        </w:trPr>
        <w:tc>
          <w:tcPr>
            <w:tcW w:w="630" w:type="dxa"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040" w:type="dxa"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Anti-cancer Potential of Hypericum spp. with Focus on Hypericum Perfo-ratum: A Review of the Literature</w:t>
            </w:r>
          </w:p>
        </w:tc>
        <w:tc>
          <w:tcPr>
            <w:tcW w:w="1350" w:type="dxa"/>
            <w:noWrap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Scopus</w:t>
            </w:r>
          </w:p>
        </w:tc>
        <w:tc>
          <w:tcPr>
            <w:tcW w:w="4860" w:type="dxa"/>
            <w:noWrap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Current Traditional Medicine</w:t>
            </w:r>
          </w:p>
        </w:tc>
      </w:tr>
      <w:tr w:rsidR="00D935A4" w:rsidRPr="00D935A4" w:rsidTr="00D935A4">
        <w:trPr>
          <w:trHeight w:val="1152"/>
        </w:trPr>
        <w:tc>
          <w:tcPr>
            <w:tcW w:w="630" w:type="dxa"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5040" w:type="dxa"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Digging deep into molecular pathways: Investigating the effects of 9S-HOD on leukemia cells using a systems biology approach(</w:t>
            </w:r>
            <w:r w:rsidRPr="00D935A4">
              <w:rPr>
                <w:rFonts w:ascii="Calibri" w:eastAsia="Times New Roman" w:hAnsi="Calibri" w:cs="Calibri"/>
                <w:color w:val="000000"/>
                <w:rtl/>
              </w:rPr>
              <w:t>دانشجو</w:t>
            </w:r>
            <w:r w:rsidRPr="00D935A4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350" w:type="dxa"/>
            <w:noWrap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Scopus</w:t>
            </w:r>
          </w:p>
        </w:tc>
        <w:tc>
          <w:tcPr>
            <w:tcW w:w="4860" w:type="dxa"/>
            <w:noWrap/>
            <w:hideMark/>
          </w:tcPr>
          <w:p w:rsidR="00D935A4" w:rsidRPr="00D935A4" w:rsidRDefault="00D935A4" w:rsidP="00D935A4">
            <w:pPr>
              <w:rPr>
                <w:rFonts w:ascii="Calibri" w:eastAsia="Times New Roman" w:hAnsi="Calibri" w:cs="Calibri"/>
                <w:color w:val="000000"/>
              </w:rPr>
            </w:pPr>
            <w:r w:rsidRPr="00D935A4">
              <w:rPr>
                <w:rFonts w:ascii="Calibri" w:eastAsia="Times New Roman" w:hAnsi="Calibri" w:cs="Calibri"/>
                <w:color w:val="000000"/>
              </w:rPr>
              <w:t>Iranian Journal of Blood and Cancer</w:t>
            </w:r>
          </w:p>
        </w:tc>
      </w:tr>
    </w:tbl>
    <w:p w:rsidR="00506E65" w:rsidRDefault="00506E65">
      <w:pPr>
        <w:rPr>
          <w:rFonts w:hint="cs"/>
          <w:rtl/>
          <w:lang w:bidi="fa-IR"/>
        </w:rPr>
      </w:pPr>
      <w:bookmarkStart w:id="0" w:name="_GoBack"/>
      <w:bookmarkEnd w:id="0"/>
    </w:p>
    <w:sectPr w:rsidR="00506E65" w:rsidSect="00D935A4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5A4" w:rsidRDefault="00D935A4" w:rsidP="00D935A4">
      <w:pPr>
        <w:spacing w:after="0" w:line="240" w:lineRule="auto"/>
      </w:pPr>
      <w:r>
        <w:separator/>
      </w:r>
    </w:p>
  </w:endnote>
  <w:endnote w:type="continuationSeparator" w:id="0">
    <w:p w:rsidR="00D935A4" w:rsidRDefault="00D935A4" w:rsidP="00D93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29385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35A4" w:rsidRDefault="00D935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935A4" w:rsidRDefault="00D935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5A4" w:rsidRDefault="00D935A4" w:rsidP="00D935A4">
      <w:pPr>
        <w:spacing w:after="0" w:line="240" w:lineRule="auto"/>
      </w:pPr>
      <w:r>
        <w:separator/>
      </w:r>
    </w:p>
  </w:footnote>
  <w:footnote w:type="continuationSeparator" w:id="0">
    <w:p w:rsidR="00D935A4" w:rsidRDefault="00D935A4" w:rsidP="00D935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5A4"/>
    <w:rsid w:val="00506E65"/>
    <w:rsid w:val="00A0242B"/>
    <w:rsid w:val="00D9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71DF"/>
  <w15:chartTrackingRefBased/>
  <w15:docId w15:val="{1679DB13-2BA4-49A3-850F-335F2EA60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3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3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5A4"/>
  </w:style>
  <w:style w:type="paragraph" w:styleId="Footer">
    <w:name w:val="footer"/>
    <w:basedOn w:val="Normal"/>
    <w:link w:val="FooterChar"/>
    <w:uiPriority w:val="99"/>
    <w:unhideWhenUsed/>
    <w:rsid w:val="00D93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2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Elham</dc:creator>
  <cp:keywords/>
  <dc:description/>
  <cp:lastModifiedBy>Elham</cp:lastModifiedBy>
  <cp:revision>1</cp:revision>
  <dcterms:created xsi:type="dcterms:W3CDTF">2026-02-26T11:17:00Z</dcterms:created>
  <dcterms:modified xsi:type="dcterms:W3CDTF">2026-02-26T11:24:00Z</dcterms:modified>
</cp:coreProperties>
</file>